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F50" w14:textId="77777777" w:rsidR="00474875" w:rsidRDefault="00474875" w:rsidP="00474875"/>
    <w:p w14:paraId="0A0D2F88" w14:textId="77777777" w:rsidR="00474875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r>
        <w:rPr>
          <w:rFonts w:ascii="Calibri" w:hAnsi="Calibri" w:cs="Calibri"/>
          <w:b/>
          <w:bCs/>
          <w:lang w:eastAsia="tr-TR"/>
          <w14:ligatures w14:val="none"/>
        </w:rPr>
        <w:t>VAKIFBANK VİNOV KAMPÜS;</w:t>
      </w:r>
    </w:p>
    <w:p w14:paraId="36E5203D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ile okul ödemelerinin banka Şubesine gidilmesine ve evrak temin edilmesine gerek kalmadan yapılması sağlanmıştır. Kayıt yaptıracak velilerin okul ücretini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aracılığıyla yapabilmesi için veli tarafından yapılacak işlemler ve işlemlerin tamamının mobil kanallar üzerinden nasıl yapılacağı aşağıda ayrıntılı bir şekilde anlatılmıştır. Talep eden velilerimiz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işlemlerini en yakın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Şubesinden de gerçekleştirebilecektir.</w:t>
      </w:r>
    </w:p>
    <w:p w14:paraId="0F12A7F8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</w:p>
    <w:p w14:paraId="59C28678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başvuru işlemleri; </w:t>
      </w:r>
    </w:p>
    <w:p w14:paraId="16AD9E56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Veli öncelikle belirtilen dilediği yöntemden birini seçerek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başvurusunu yapacaktır. </w:t>
      </w:r>
    </w:p>
    <w:p w14:paraId="1D9FFC92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başvurusu </w:t>
      </w:r>
      <w:r w:rsidRPr="00D5678C">
        <w:rPr>
          <w:rFonts w:ascii="Calibri" w:hAnsi="Calibri" w:cs="Calibri"/>
          <w:b/>
          <w:bCs/>
          <w:u w:val="single"/>
          <w:lang w:eastAsia="tr-TR"/>
          <w14:ligatures w14:val="none"/>
        </w:rPr>
        <w:t>olumlu</w:t>
      </w:r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sonuçlanan velinin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müşterisi ve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hesabı olup olmamasına göre Banka tarafından veliye bilgilendirme mesajları iletilecek ve veli yapılacak işlemlere yönlendirilecektir. Veli işlemlerini tamamladıktan sonra okul ücretinin tahsili için okul tarafından oluşturulup kendisine onaya gönderilmiş olan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kayıtlarını onaylayarak kayıt işlemlerini tamamlayacaktır. </w:t>
      </w:r>
    </w:p>
    <w:p w14:paraId="1DA930C7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Veli,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ve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hesabı varsa okula bilgi verir ve okul tarafından oluşturulan tahsilat kaydını onaylayarak okul ödemesini hemen gerçekleştirebilir. </w:t>
      </w:r>
    </w:p>
    <w:p w14:paraId="7EC0FD8F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Veli,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ve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hesabı yoksa vadesiz TL hesabı açar,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hesap tanımı yapar ve okula bilgi verir. Ardından okul tarafından oluşturulan tahsilat kaydını onaylayarak okul ödemesini gerçekleştirir. </w:t>
      </w:r>
    </w:p>
    <w:p w14:paraId="4CCC4ACA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vanish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Veli,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değilse</w:t>
      </w:r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</w:t>
      </w: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uzaktan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olur, vadesiz TL hesap açar,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hesap tanımı yapar ve okula bilgi verir. Ardından okul tarafından oluşturulan tahsilat kaydını onaylayarak okul ödemesini gerçekleştirir. </w:t>
      </w:r>
    </w:p>
    <w:p w14:paraId="545DFA54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</w:t>
      </w:r>
    </w:p>
    <w:p w14:paraId="34594547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Kampüs Başvuru Yöntemleri için Tablo 1,</w:t>
      </w:r>
    </w:p>
    <w:p w14:paraId="5FC389AF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Banka Tarafından İletilen Mesajlar ve Yapılması Gereken İşlemler için Tablo 2,</w:t>
      </w:r>
    </w:p>
    <w:p w14:paraId="6B85F70E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lastRenderedPageBreak/>
        <w:t xml:space="preserve">Vadesiz Hesap Açma,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Hesap Tanımı ve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Onaylama İşlemleri için Tablo 3,</w:t>
      </w:r>
    </w:p>
    <w:p w14:paraId="0D63D74A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Uzaktan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olma işlemleri için Tablo 4’ den yararlanabilirsiniz.</w:t>
      </w:r>
    </w:p>
    <w:p w14:paraId="7F595D00" w14:textId="5DD8998D" w:rsidR="00474875" w:rsidRDefault="00EB7D94" w:rsidP="00474875">
      <w:r>
        <w:rPr>
          <w:noProof/>
        </w:rPr>
        <w:drawing>
          <wp:inline distT="0" distB="0" distL="0" distR="0" wp14:anchorId="5987B021" wp14:editId="61DF6DB0">
            <wp:extent cx="5760720" cy="8119745"/>
            <wp:effectExtent l="0" t="0" r="0" b="0"/>
            <wp:docPr id="220693878" name="Resim 220693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3B"/>
    <w:rsid w:val="000A38CF"/>
    <w:rsid w:val="00263389"/>
    <w:rsid w:val="00474875"/>
    <w:rsid w:val="007E5CAB"/>
    <w:rsid w:val="00A4013B"/>
    <w:rsid w:val="00D14FE7"/>
    <w:rsid w:val="00D761B3"/>
    <w:rsid w:val="00E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270"/>
  <w15:chartTrackingRefBased/>
  <w15:docId w15:val="{096210BF-EB7C-4761-B09F-6CB137C6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3B"/>
    <w:pPr>
      <w:spacing w:line="252" w:lineRule="auto"/>
    </w:pPr>
    <w:rPr>
      <w:rFonts w:ascii="Aptos" w:hAnsi="Aptos" w:cs="Aptos"/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40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0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0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0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0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01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01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01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01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01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01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01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01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01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01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01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013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01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013B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A401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01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0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013B"/>
    <w:pPr>
      <w:spacing w:before="100" w:beforeAutospacing="1" w:after="100" w:afterAutospacing="1" w:line="240" w:lineRule="auto"/>
    </w:pPr>
    <w:rPr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Mergen</dc:creator>
  <cp:keywords/>
  <dc:description/>
  <cp:lastModifiedBy>Utku Mergen</cp:lastModifiedBy>
  <cp:revision>2</cp:revision>
  <dcterms:created xsi:type="dcterms:W3CDTF">2025-06-20T17:57:00Z</dcterms:created>
  <dcterms:modified xsi:type="dcterms:W3CDTF">2025-06-20T17:57:00Z</dcterms:modified>
</cp:coreProperties>
</file>